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AFE4" w14:textId="77777777" w:rsidR="00F95724" w:rsidRPr="00C734D2" w:rsidRDefault="00F95724" w:rsidP="00F95724">
      <w:pPr>
        <w:tabs>
          <w:tab w:val="left" w:pos="4988"/>
        </w:tabs>
        <w:suppressAutoHyphens/>
        <w:wordWrap w:val="0"/>
        <w:overflowPunct w:val="0"/>
        <w:autoSpaceDE w:val="0"/>
        <w:autoSpaceDN w:val="0"/>
        <w:textAlignment w:val="baseline"/>
        <w:rPr>
          <w:rFonts w:ascii="Times New Roman" w:hAnsi="Times New Roman" w:cs="ＭＳ 明朝"/>
          <w:color w:val="000000" w:themeColor="text1"/>
          <w:kern w:val="0"/>
          <w:sz w:val="22"/>
        </w:rPr>
      </w:pPr>
      <w:r w:rsidRPr="00C734D2">
        <w:rPr>
          <w:rFonts w:ascii="ＭＳ 明朝" w:eastAsia="ＭＳ ゴシック" w:hAnsi="Times New Roman" w:cs="ＭＳ ゴシック" w:hint="eastAsia"/>
          <w:color w:val="000000" w:themeColor="text1"/>
          <w:kern w:val="0"/>
          <w:sz w:val="22"/>
        </w:rPr>
        <w:t>様式第十七号の二</w:t>
      </w:r>
      <w:r w:rsidRPr="00C734D2">
        <w:rPr>
          <w:rFonts w:ascii="Times New Roman" w:hAnsi="Times New Roman" w:cs="ＭＳ 明朝" w:hint="eastAsia"/>
          <w:color w:val="000000" w:themeColor="text1"/>
          <w:kern w:val="0"/>
          <w:sz w:val="22"/>
        </w:rPr>
        <w:t xml:space="preserve">（第四条、第十条、第十九条の四関係）　　　　　　　　　　　</w:t>
      </w:r>
    </w:p>
    <w:p w14:paraId="4A149AAA" w14:textId="77777777" w:rsidR="00F95724" w:rsidRPr="00C734D2" w:rsidRDefault="00F95724" w:rsidP="00F95724">
      <w:pPr>
        <w:tabs>
          <w:tab w:val="left" w:pos="4988"/>
        </w:tabs>
        <w:suppressAutoHyphens/>
        <w:wordWrap w:val="0"/>
        <w:overflowPunct w:val="0"/>
        <w:autoSpaceDE w:val="0"/>
        <w:autoSpaceDN w:val="0"/>
        <w:jc w:val="right"/>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（用紙Ａ４）</w:t>
      </w:r>
    </w:p>
    <w:p w14:paraId="137E479F" w14:textId="77777777"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p>
    <w:p w14:paraId="6E8E6CC2" w14:textId="77777777"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b/>
          <w:bCs/>
          <w:color w:val="000000" w:themeColor="text1"/>
          <w:kern w:val="0"/>
          <w:sz w:val="22"/>
        </w:rPr>
        <w:t>注　　　記　　　表</w:t>
      </w:r>
    </w:p>
    <w:p w14:paraId="68EF520C" w14:textId="77777777"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 xml:space="preserve">自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14:paraId="402B9510" w14:textId="77777777"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 xml:space="preserve">至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14:paraId="63026692" w14:textId="77777777" w:rsidR="00F95724" w:rsidRPr="00C734D2" w:rsidRDefault="00F95724" w:rsidP="00F95724">
      <w:pPr>
        <w:suppressAutoHyphens/>
        <w:wordWrap w:val="0"/>
        <w:overflowPunct w:val="0"/>
        <w:autoSpaceDE w:val="0"/>
        <w:autoSpaceDN w:val="0"/>
        <w:ind w:right="904" w:firstLineChars="1600" w:firstLine="4346"/>
        <w:textAlignment w:val="baseline"/>
        <w:rPr>
          <w:rFonts w:ascii="ＭＳ 明朝" w:hAnsi="Times New Roman"/>
          <w:color w:val="000000" w:themeColor="text1"/>
          <w:spacing w:val="4"/>
          <w:kern w:val="0"/>
          <w:sz w:val="22"/>
        </w:rPr>
      </w:pPr>
    </w:p>
    <w:p w14:paraId="6E25CE1F" w14:textId="77777777" w:rsidR="00F95724" w:rsidRPr="00C734D2" w:rsidRDefault="00F95724" w:rsidP="00F95724">
      <w:pPr>
        <w:tabs>
          <w:tab w:val="left" w:pos="9498"/>
        </w:tabs>
        <w:suppressAutoHyphens/>
        <w:overflowPunct w:val="0"/>
        <w:autoSpaceDE w:val="0"/>
        <w:autoSpaceDN w:val="0"/>
        <w:ind w:right="140" w:firstLineChars="2241" w:firstLine="5908"/>
        <w:textAlignment w:val="baseline"/>
        <w:outlineLvl w:val="0"/>
        <w:rPr>
          <w:rFonts w:ascii="ＭＳ 明朝" w:hAnsi="Times New Roman"/>
          <w:color w:val="000000" w:themeColor="text1"/>
          <w:spacing w:val="4"/>
          <w:kern w:val="0"/>
          <w:sz w:val="22"/>
          <w:u w:val="single"/>
        </w:rPr>
      </w:pPr>
      <w:r w:rsidRPr="00C734D2">
        <w:rPr>
          <w:rFonts w:ascii="Times New Roman" w:hAnsi="Times New Roman" w:cs="ＭＳ 明朝" w:hint="eastAsia"/>
          <w:color w:val="000000" w:themeColor="text1"/>
          <w:kern w:val="0"/>
          <w:sz w:val="22"/>
        </w:rPr>
        <w:t>（</w:t>
      </w:r>
      <w:r w:rsidRPr="00C734D2">
        <w:rPr>
          <w:rFonts w:ascii="Times New Roman" w:hAnsi="Times New Roman" w:cs="ＭＳ 明朝" w:hint="eastAsia"/>
          <w:color w:val="000000" w:themeColor="text1"/>
          <w:kern w:val="0"/>
          <w:sz w:val="22"/>
          <w:u w:val="single"/>
        </w:rPr>
        <w:t xml:space="preserve">会社名）　　　　　　　　　　</w:t>
      </w:r>
    </w:p>
    <w:p w14:paraId="3B61685C" w14:textId="77777777"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p>
    <w:p w14:paraId="22ED56E2" w14:textId="77777777"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注</w:t>
      </w:r>
    </w:p>
    <w:p w14:paraId="062ADE31"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１　継続企業の前提に重要な疑義を生じさせるような事象又は状況</w:t>
      </w:r>
    </w:p>
    <w:p w14:paraId="359AB938"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２　重要な会計方針</w:t>
      </w:r>
    </w:p>
    <w:p w14:paraId="0BC074C3"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3"/>
        </w:rPr>
        <w:t>(1</w:t>
      </w:r>
      <w:r w:rsidRPr="00C734D2">
        <w:rPr>
          <w:rFonts w:ascii="Times New Roman" w:hAnsi="Times New Roman" w:cs="ＭＳ 明朝"/>
          <w:color w:val="000000" w:themeColor="text1"/>
          <w:spacing w:val="2"/>
          <w:kern w:val="0"/>
          <w:sz w:val="22"/>
          <w:fitText w:val="264" w:id="311703303"/>
        </w:rPr>
        <w:t>)</w:t>
      </w:r>
      <w:r w:rsidRPr="00C734D2">
        <w:rPr>
          <w:rFonts w:ascii="Times New Roman" w:hAnsi="Times New Roman" w:cs="ＭＳ 明朝" w:hint="eastAsia"/>
          <w:color w:val="000000" w:themeColor="text1"/>
          <w:kern w:val="0"/>
          <w:sz w:val="22"/>
        </w:rPr>
        <w:t xml:space="preserve">　資産の評価基準及び評価方法</w:t>
      </w:r>
    </w:p>
    <w:p w14:paraId="714C0107"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(2</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固定資産の減価償却の方法</w:t>
      </w:r>
    </w:p>
    <w:p w14:paraId="0BD05F7C"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(3</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引当金の計上基準</w:t>
      </w:r>
    </w:p>
    <w:p w14:paraId="53EBC7ED"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(4</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収益及び費用の計上基準</w:t>
      </w:r>
    </w:p>
    <w:p w14:paraId="1761AB90"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(5</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消費税及び地方消費税に相当する額の会計処理の方法</w:t>
      </w:r>
    </w:p>
    <w:p w14:paraId="18FF6C56"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(6</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その他貸借対照表、損益計算書、株主資本等変動計算書､注記表作成のための基本となる重要な事項</w:t>
      </w:r>
    </w:p>
    <w:p w14:paraId="19EBDB7D"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３　会計方針の変更</w:t>
      </w:r>
    </w:p>
    <w:p w14:paraId="084FFF63"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４　表示方法の変更</w:t>
      </w:r>
    </w:p>
    <w:p w14:paraId="00053C8E"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５　会計上の見積りの変更</w:t>
      </w:r>
    </w:p>
    <w:p w14:paraId="63F0C0EA" w14:textId="77777777" w:rsidR="00F95724" w:rsidRPr="00C734D2" w:rsidRDefault="00F95724" w:rsidP="00F95724">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６　誤</w:t>
      </w:r>
      <w:r w:rsidR="00DD64C9" w:rsidRPr="00C734D2">
        <w:rPr>
          <w:rFonts w:ascii="Times New Roman" w:hAnsi="Times New Roman" w:cs="ＭＳ 明朝"/>
          <w:color w:val="000000" w:themeColor="text1"/>
          <w:kern w:val="0"/>
          <w:sz w:val="22"/>
        </w:rPr>
        <w:ruby>
          <w:rubyPr>
            <w:rubyAlign w:val="distributeSpace"/>
            <w:hps w:val="11"/>
            <w:hpsRaise w:val="18"/>
            <w:hpsBaseText w:val="22"/>
            <w:lid w:val="ja-JP"/>
          </w:rubyPr>
          <w:rt>
            <w:r w:rsidR="00F95724" w:rsidRPr="00C734D2">
              <w:rPr>
                <w:rFonts w:ascii="Times New Roman" w:hAnsi="Times New Roman" w:cs="ＭＳ 明朝" w:hint="eastAsia"/>
                <w:color w:val="000000" w:themeColor="text1"/>
                <w:kern w:val="0"/>
                <w:sz w:val="22"/>
              </w:rPr>
              <w:t>びゆう</w:t>
            </w:r>
          </w:rt>
          <w:rubyBase>
            <w:r w:rsidR="00F95724" w:rsidRPr="00C734D2">
              <w:rPr>
                <w:rFonts w:ascii="Times New Roman" w:hAnsi="Times New Roman" w:cs="ＭＳ 明朝" w:hint="eastAsia"/>
                <w:color w:val="000000" w:themeColor="text1"/>
                <w:kern w:val="0"/>
                <w:sz w:val="22"/>
              </w:rPr>
              <w:t>謬</w:t>
            </w:r>
          </w:rubyBase>
        </w:ruby>
      </w:r>
      <w:r w:rsidRPr="00C734D2">
        <w:rPr>
          <w:rFonts w:ascii="Times New Roman" w:hAnsi="Times New Roman" w:cs="ＭＳ 明朝" w:hint="eastAsia"/>
          <w:color w:val="000000" w:themeColor="text1"/>
          <w:kern w:val="0"/>
          <w:sz w:val="22"/>
        </w:rPr>
        <w:t>の訂正</w:t>
      </w:r>
    </w:p>
    <w:p w14:paraId="2625CD18"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７　貸借対照表関係</w:t>
      </w:r>
    </w:p>
    <w:p w14:paraId="1339CB44"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(1</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担保に供している資産及び担保付債務</w:t>
      </w:r>
    </w:p>
    <w:p w14:paraId="2B37B65D" w14:textId="77777777"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①担保に供している資産の内容及びその金額</w:t>
      </w:r>
    </w:p>
    <w:p w14:paraId="135BCC47" w14:textId="77777777"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②担保に係る債務の金額</w:t>
      </w:r>
    </w:p>
    <w:p w14:paraId="43B88600"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(2</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保証債務、手形遡求債務、重要な係争事件に係る損害賠償義務等の内容及び金額</w:t>
      </w:r>
    </w:p>
    <w:p w14:paraId="18F98F69"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(3</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関係会社に対する短期金銭債権及び長期金銭債権並びに短期金銭債務及び長期金銭債務</w:t>
      </w:r>
    </w:p>
    <w:p w14:paraId="38FF67B7"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(4</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取締役、監査役及び執行役との間の取引による取締役、監査役及び執行役に対する金銭債権及び金銭債務</w:t>
      </w:r>
    </w:p>
    <w:p w14:paraId="393AB6A4"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296"/>
        </w:rPr>
        <w:t>(5</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親会社株式の各表示区分別の金額</w:t>
      </w:r>
    </w:p>
    <w:p w14:paraId="1C7D7F48"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(6</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工事損失引当金に対応する未成工事支出金の金額</w:t>
      </w:r>
    </w:p>
    <w:p w14:paraId="1588AE7F"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８　損益計算書関係</w:t>
      </w:r>
    </w:p>
    <w:p w14:paraId="379B0099"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8"/>
        </w:rPr>
        <w:t>(1</w:t>
      </w:r>
      <w:r w:rsidRPr="00C734D2">
        <w:rPr>
          <w:rFonts w:ascii="Times New Roman" w:hAnsi="Times New Roman" w:cs="ＭＳ 明朝"/>
          <w:color w:val="000000" w:themeColor="text1"/>
          <w:spacing w:val="2"/>
          <w:kern w:val="0"/>
          <w:sz w:val="22"/>
          <w:fitText w:val="264" w:id="311703298"/>
        </w:rPr>
        <w:t>)</w:t>
      </w:r>
      <w:r w:rsidRPr="00C734D2">
        <w:rPr>
          <w:rFonts w:ascii="Times New Roman" w:hAnsi="Times New Roman" w:cs="ＭＳ 明朝" w:hint="eastAsia"/>
          <w:color w:val="000000" w:themeColor="text1"/>
          <w:kern w:val="0"/>
          <w:sz w:val="22"/>
        </w:rPr>
        <w:t xml:space="preserve">　工事進行基準による完成工事高</w:t>
      </w:r>
    </w:p>
    <w:p w14:paraId="5072CBD7"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売上高のうち関係会社に対する部分</w:t>
      </w:r>
    </w:p>
    <w:p w14:paraId="5F02E446"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0"/>
        </w:rPr>
        <w:t>(3</w:t>
      </w:r>
      <w:r w:rsidRPr="00C734D2">
        <w:rPr>
          <w:rFonts w:ascii="Times New Roman" w:hAnsi="Times New Roman" w:cs="ＭＳ 明朝"/>
          <w:color w:val="000000" w:themeColor="text1"/>
          <w:spacing w:val="2"/>
          <w:kern w:val="0"/>
          <w:sz w:val="22"/>
          <w:fitText w:val="264" w:id="311703300"/>
        </w:rPr>
        <w:t>)</w:t>
      </w:r>
      <w:r w:rsidRPr="00C734D2">
        <w:rPr>
          <w:rFonts w:ascii="Times New Roman" w:hAnsi="Times New Roman" w:cs="ＭＳ 明朝" w:hint="eastAsia"/>
          <w:color w:val="000000" w:themeColor="text1"/>
          <w:kern w:val="0"/>
          <w:sz w:val="22"/>
        </w:rPr>
        <w:t xml:space="preserve">　売上原価のうち関係会社からの仕入高</w:t>
      </w:r>
    </w:p>
    <w:p w14:paraId="0CFC4439"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1"/>
        </w:rPr>
        <w:t>(4</w:t>
      </w:r>
      <w:r w:rsidRPr="00C734D2">
        <w:rPr>
          <w:rFonts w:ascii="Times New Roman" w:hAnsi="Times New Roman" w:cs="ＭＳ 明朝"/>
          <w:color w:val="000000" w:themeColor="text1"/>
          <w:spacing w:val="2"/>
          <w:kern w:val="0"/>
          <w:sz w:val="22"/>
          <w:fitText w:val="264" w:id="311703301"/>
        </w:rPr>
        <w:t>)</w:t>
      </w:r>
      <w:r w:rsidRPr="00C734D2">
        <w:rPr>
          <w:rFonts w:ascii="Times New Roman" w:hAnsi="Times New Roman" w:cs="ＭＳ 明朝" w:hint="eastAsia"/>
          <w:color w:val="000000" w:themeColor="text1"/>
          <w:kern w:val="0"/>
          <w:sz w:val="22"/>
        </w:rPr>
        <w:t xml:space="preserve">　売上原価のうち工事損失引当金繰入額</w:t>
      </w:r>
    </w:p>
    <w:p w14:paraId="44D1FCAC"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2"/>
        </w:rPr>
        <w:t>(5</w:t>
      </w:r>
      <w:r w:rsidRPr="00C734D2">
        <w:rPr>
          <w:rFonts w:ascii="Times New Roman" w:hAnsi="Times New Roman" w:cs="ＭＳ 明朝"/>
          <w:color w:val="000000" w:themeColor="text1"/>
          <w:spacing w:val="2"/>
          <w:kern w:val="0"/>
          <w:sz w:val="22"/>
          <w:fitText w:val="264" w:id="311703302"/>
        </w:rPr>
        <w:t>)</w:t>
      </w:r>
      <w:r w:rsidRPr="00C734D2">
        <w:rPr>
          <w:rFonts w:ascii="Times New Roman" w:hAnsi="Times New Roman" w:cs="ＭＳ 明朝" w:hint="eastAsia"/>
          <w:color w:val="000000" w:themeColor="text1"/>
          <w:kern w:val="0"/>
          <w:sz w:val="22"/>
        </w:rPr>
        <w:t xml:space="preserve">　関係会社との営業取引以外の取引高</w:t>
      </w:r>
    </w:p>
    <w:p w14:paraId="46D734A4"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3"/>
        </w:rPr>
        <w:t>(6</w:t>
      </w:r>
      <w:r w:rsidRPr="00C734D2">
        <w:rPr>
          <w:rFonts w:ascii="Times New Roman" w:hAnsi="Times New Roman" w:cs="ＭＳ 明朝"/>
          <w:color w:val="000000" w:themeColor="text1"/>
          <w:spacing w:val="2"/>
          <w:kern w:val="0"/>
          <w:sz w:val="22"/>
          <w:fitText w:val="264" w:id="311703303"/>
        </w:rPr>
        <w:t>)</w:t>
      </w:r>
      <w:r w:rsidRPr="00C734D2">
        <w:rPr>
          <w:rFonts w:ascii="Times New Roman" w:hAnsi="Times New Roman" w:cs="ＭＳ 明朝" w:hint="eastAsia"/>
          <w:color w:val="000000" w:themeColor="text1"/>
          <w:kern w:val="0"/>
          <w:sz w:val="22"/>
        </w:rPr>
        <w:t xml:space="preserve">　研究開発費の総額（会計監査人を設置している会社に限る。）</w:t>
      </w:r>
    </w:p>
    <w:p w14:paraId="490B4F78"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lastRenderedPageBreak/>
        <w:t>９　株主資本等変動計算書関係</w:t>
      </w:r>
    </w:p>
    <w:p w14:paraId="51F48AE8"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(1</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事業年度末日における発行済株式の種類及び数</w:t>
      </w:r>
    </w:p>
    <w:p w14:paraId="2D81B7BB"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(2</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事業年度末日における自己株式の種類及び数</w:t>
      </w:r>
    </w:p>
    <w:p w14:paraId="6472456B"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(3</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剰余金の配当</w:t>
      </w:r>
    </w:p>
    <w:p w14:paraId="0EDDF476"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(4</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事業年度末において発行している新株予約権の目的となる株式の種類及び数</w:t>
      </w:r>
    </w:p>
    <w:p w14:paraId="73F81D7E"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10</w:t>
      </w:r>
      <w:r w:rsidRPr="00C734D2">
        <w:rPr>
          <w:rFonts w:ascii="Times New Roman" w:hAnsi="Times New Roman" w:cs="ＭＳ 明朝" w:hint="eastAsia"/>
          <w:color w:val="000000" w:themeColor="text1"/>
          <w:kern w:val="0"/>
          <w:sz w:val="22"/>
        </w:rPr>
        <w:t xml:space="preserve">　税効果会計</w:t>
      </w:r>
    </w:p>
    <w:p w14:paraId="109067AF"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11</w:t>
      </w:r>
      <w:r w:rsidRPr="00C734D2">
        <w:rPr>
          <w:rFonts w:ascii="Times New Roman" w:hAnsi="Times New Roman" w:cs="ＭＳ 明朝" w:hint="eastAsia"/>
          <w:color w:val="000000" w:themeColor="text1"/>
          <w:kern w:val="0"/>
          <w:sz w:val="22"/>
        </w:rPr>
        <w:t xml:space="preserve">　リースにより使用する固定資産</w:t>
      </w:r>
    </w:p>
    <w:p w14:paraId="0EE65043"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12</w:t>
      </w:r>
      <w:r w:rsidRPr="00C734D2">
        <w:rPr>
          <w:rFonts w:ascii="Times New Roman" w:hAnsi="Times New Roman" w:cs="ＭＳ 明朝" w:hint="eastAsia"/>
          <w:color w:val="000000" w:themeColor="text1"/>
          <w:kern w:val="0"/>
          <w:sz w:val="22"/>
        </w:rPr>
        <w:t xml:space="preserve">　金融商品関係</w:t>
      </w:r>
    </w:p>
    <w:p w14:paraId="34A1C9D8"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(1</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金融商品の状況</w:t>
      </w:r>
    </w:p>
    <w:p w14:paraId="3DC94374"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(2</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金融商品の時価等</w:t>
      </w:r>
    </w:p>
    <w:p w14:paraId="6D2D86C4"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13</w:t>
      </w:r>
      <w:r w:rsidRPr="00C734D2">
        <w:rPr>
          <w:rFonts w:ascii="Times New Roman" w:hAnsi="Times New Roman" w:cs="ＭＳ 明朝" w:hint="eastAsia"/>
          <w:color w:val="000000" w:themeColor="text1"/>
          <w:kern w:val="0"/>
          <w:sz w:val="22"/>
        </w:rPr>
        <w:t xml:space="preserve">　賃貸等不動産関係</w:t>
      </w:r>
    </w:p>
    <w:p w14:paraId="0697EDF0"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(1</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賃貸等不動産の状況</w:t>
      </w:r>
    </w:p>
    <w:p w14:paraId="0D8FD6D9"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(2</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賃貸等不動産の時価</w:t>
      </w:r>
    </w:p>
    <w:p w14:paraId="62320152"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14</w:t>
      </w:r>
      <w:r w:rsidRPr="00C734D2">
        <w:rPr>
          <w:rFonts w:ascii="Times New Roman" w:hAnsi="Times New Roman" w:cs="ＭＳ 明朝" w:hint="eastAsia"/>
          <w:color w:val="000000" w:themeColor="text1"/>
          <w:kern w:val="0"/>
          <w:sz w:val="22"/>
        </w:rPr>
        <w:t xml:space="preserve">　関連当事者との取引</w:t>
      </w:r>
    </w:p>
    <w:p w14:paraId="3369935C" w14:textId="77777777" w:rsidR="00F95724" w:rsidRPr="00C734D2" w:rsidRDefault="00F95724" w:rsidP="00F95724">
      <w:pPr>
        <w:suppressAutoHyphens/>
        <w:wordWrap w:val="0"/>
        <w:overflowPunct w:val="0"/>
        <w:autoSpaceDE w:val="0"/>
        <w:autoSpaceDN w:val="0"/>
        <w:ind w:firstLineChars="200" w:firstLine="527"/>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C734D2" w:rsidRPr="00C734D2" w14:paraId="115C75D6" w14:textId="77777777" w:rsidTr="00D50F94">
        <w:trPr>
          <w:trHeight w:val="740"/>
        </w:trPr>
        <w:tc>
          <w:tcPr>
            <w:tcW w:w="284" w:type="dxa"/>
            <w:vMerge w:val="restart"/>
            <w:tcBorders>
              <w:top w:val="nil"/>
              <w:left w:val="nil"/>
              <w:bottom w:val="nil"/>
              <w:right w:val="single" w:sz="4" w:space="0" w:color="000000"/>
            </w:tcBorders>
          </w:tcPr>
          <w:p w14:paraId="744711D3" w14:textId="77777777"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14:paraId="6583D0F3"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14:paraId="0CF3D984"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EC4B4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14:paraId="6110068E" w14:textId="77777777"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14:paraId="3ED85ECA"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議決権の所有</w:t>
            </w:r>
          </w:p>
          <w:p w14:paraId="0DB936C4"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14:paraId="1576A657"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826BC"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科　目</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2A695"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期末残高</w:t>
            </w:r>
          </w:p>
          <w:p w14:paraId="7BCD630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（千円）</w:t>
            </w:r>
          </w:p>
        </w:tc>
      </w:tr>
      <w:tr w:rsidR="00C734D2" w:rsidRPr="00C734D2" w14:paraId="3D243946" w14:textId="77777777" w:rsidTr="00D50F94">
        <w:trPr>
          <w:trHeight w:val="441"/>
        </w:trPr>
        <w:tc>
          <w:tcPr>
            <w:tcW w:w="284" w:type="dxa"/>
            <w:vMerge/>
            <w:tcBorders>
              <w:top w:val="nil"/>
              <w:left w:val="nil"/>
              <w:bottom w:val="nil"/>
              <w:right w:val="single" w:sz="4" w:space="0" w:color="000000"/>
            </w:tcBorders>
          </w:tcPr>
          <w:p w14:paraId="23213D14" w14:textId="77777777" w:rsidR="00F95724" w:rsidRPr="00C734D2" w:rsidRDefault="00F95724" w:rsidP="00D50F94">
            <w:pPr>
              <w:autoSpaceDE w:val="0"/>
              <w:autoSpaceDN w:val="0"/>
              <w:adjustRightInd w:val="0"/>
              <w:jc w:val="left"/>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14:paraId="4D30F3CB"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6A05902E"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2127" w:type="dxa"/>
            <w:tcBorders>
              <w:top w:val="single" w:sz="4" w:space="0" w:color="000000"/>
              <w:left w:val="single" w:sz="4" w:space="0" w:color="000000"/>
              <w:bottom w:val="single" w:sz="4" w:space="0" w:color="000000"/>
              <w:right w:val="single" w:sz="4" w:space="0" w:color="000000"/>
            </w:tcBorders>
          </w:tcPr>
          <w:p w14:paraId="727921F4"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14:paraId="2C188767"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tcPr>
          <w:p w14:paraId="440F3456"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tcPr>
          <w:p w14:paraId="1657B0BE" w14:textId="77777777"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r>
    </w:tbl>
    <w:p w14:paraId="31B5FA83" w14:textId="77777777" w:rsidR="00F95724" w:rsidRPr="00C734D2" w:rsidRDefault="00F95724" w:rsidP="00F95724">
      <w:pPr>
        <w:suppressAutoHyphens/>
        <w:wordWrap w:val="0"/>
        <w:overflowPunct w:val="0"/>
        <w:autoSpaceDE w:val="0"/>
        <w:autoSpaceDN w:val="0"/>
        <w:ind w:firstLineChars="200" w:firstLine="527"/>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ただし、会計監査人を設置している会社は以下の様式により記載する。</w:t>
      </w:r>
    </w:p>
    <w:p w14:paraId="2D584364"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(1</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C734D2" w:rsidRPr="00C734D2" w14:paraId="1FBFDDC3" w14:textId="77777777" w:rsidTr="00D50F94">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14:paraId="2E1E17F7" w14:textId="77777777" w:rsidR="00F95724" w:rsidRPr="00C734D2" w:rsidRDefault="00F95724" w:rsidP="00D50F94">
            <w:pPr>
              <w:suppressAutoHyphens/>
              <w:kinsoku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14:paraId="538A20E4"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751CB39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議決権の所有</w:t>
            </w:r>
          </w:p>
          <w:p w14:paraId="69220C0E"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5667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14:paraId="4DA84329"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55FA0"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14:paraId="73D24DE5"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3430C"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期末残高</w:t>
            </w:r>
          </w:p>
          <w:p w14:paraId="2630231D"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（千円）</w:t>
            </w:r>
          </w:p>
        </w:tc>
      </w:tr>
      <w:tr w:rsidR="00C734D2" w:rsidRPr="00C734D2" w14:paraId="5A725ABB" w14:textId="77777777" w:rsidTr="00D50F94">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14:paraId="1EAB4D98"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CC8C3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2B3B0C"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850FE2"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BF0061"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7E7AAD"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353F33"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C66736" w14:textId="77777777"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r>
    </w:tbl>
    <w:p w14:paraId="700FA926"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6"/>
        </w:rPr>
        <w:t>(2</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取引条件及び取引条件の決定方針</w:t>
      </w:r>
    </w:p>
    <w:p w14:paraId="23D90241"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(3</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取引条件の変更の内容及び変更が貸借対照表、損益計算書に与える影響の内容</w:t>
      </w:r>
    </w:p>
    <w:p w14:paraId="57383D5F"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15</w:t>
      </w:r>
      <w:r w:rsidRPr="00C734D2">
        <w:rPr>
          <w:rFonts w:ascii="Times New Roman" w:hAnsi="Times New Roman" w:cs="ＭＳ 明朝" w:hint="eastAsia"/>
          <w:color w:val="000000" w:themeColor="text1"/>
          <w:kern w:val="0"/>
          <w:sz w:val="22"/>
        </w:rPr>
        <w:t xml:space="preserve">　一株当たり情報</w:t>
      </w:r>
    </w:p>
    <w:p w14:paraId="23974379"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8"/>
        </w:rPr>
        <w:t>(1</w:t>
      </w:r>
      <w:r w:rsidRPr="00C734D2">
        <w:rPr>
          <w:rFonts w:ascii="Times New Roman" w:hAnsi="Times New Roman" w:cs="ＭＳ 明朝"/>
          <w:color w:val="000000" w:themeColor="text1"/>
          <w:spacing w:val="2"/>
          <w:kern w:val="0"/>
          <w:sz w:val="22"/>
          <w:fitText w:val="264" w:id="311703298"/>
        </w:rPr>
        <w:t>)</w:t>
      </w:r>
      <w:r w:rsidRPr="00C734D2">
        <w:rPr>
          <w:rFonts w:ascii="Times New Roman" w:hAnsi="Times New Roman" w:cs="ＭＳ 明朝" w:hint="eastAsia"/>
          <w:color w:val="000000" w:themeColor="text1"/>
          <w:kern w:val="0"/>
          <w:sz w:val="22"/>
        </w:rPr>
        <w:t xml:space="preserve">　一株当たりの純資産額</w:t>
      </w:r>
    </w:p>
    <w:p w14:paraId="7D044A40" w14:textId="77777777"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一株当たりの当期純利益又は当期純損失</w:t>
      </w:r>
    </w:p>
    <w:p w14:paraId="28A17C87"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6</w:t>
      </w:r>
      <w:r w:rsidRPr="00C734D2">
        <w:rPr>
          <w:rFonts w:ascii="Times New Roman" w:hAnsi="Times New Roman" w:cs="ＭＳ 明朝" w:hint="eastAsia"/>
          <w:color w:val="000000" w:themeColor="text1"/>
          <w:kern w:val="0"/>
          <w:sz w:val="22"/>
        </w:rPr>
        <w:t xml:space="preserve">　重要な後発事象</w:t>
      </w:r>
    </w:p>
    <w:p w14:paraId="56330382"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7</w:t>
      </w:r>
      <w:r w:rsidRPr="00C734D2">
        <w:rPr>
          <w:rFonts w:ascii="Times New Roman" w:hAnsi="Times New Roman" w:cs="ＭＳ 明朝" w:hint="eastAsia"/>
          <w:color w:val="000000" w:themeColor="text1"/>
          <w:kern w:val="0"/>
          <w:sz w:val="22"/>
        </w:rPr>
        <w:t xml:space="preserve">　連結配当規制適用の有無</w:t>
      </w:r>
    </w:p>
    <w:p w14:paraId="7E1A8277" w14:textId="77777777"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8</w:t>
      </w:r>
      <w:r w:rsidRPr="00C734D2">
        <w:rPr>
          <w:rFonts w:ascii="Times New Roman" w:hAnsi="Times New Roman" w:cs="ＭＳ 明朝" w:hint="eastAsia"/>
          <w:color w:val="000000" w:themeColor="text1"/>
          <w:kern w:val="0"/>
          <w:sz w:val="22"/>
        </w:rPr>
        <w:t xml:space="preserve">　その他</w:t>
      </w:r>
    </w:p>
    <w:sectPr w:rsidR="00F95724" w:rsidRPr="00C734D2" w:rsidSect="007E258B">
      <w:headerReference w:type="default" r:id="rId6"/>
      <w:footerReference w:type="default" r:id="rId7"/>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F1F8" w14:textId="77777777" w:rsidR="00895E4C" w:rsidRDefault="00895E4C" w:rsidP="00895E4C">
      <w:r>
        <w:separator/>
      </w:r>
    </w:p>
  </w:endnote>
  <w:endnote w:type="continuationSeparator" w:id="0">
    <w:p w14:paraId="0EA984B8" w14:textId="77777777"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2B26" w14:textId="77777777" w:rsidR="006445DB" w:rsidRDefault="00065F44">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132E" w14:textId="77777777" w:rsidR="00895E4C" w:rsidRDefault="00895E4C" w:rsidP="00895E4C">
      <w:r>
        <w:separator/>
      </w:r>
    </w:p>
  </w:footnote>
  <w:footnote w:type="continuationSeparator" w:id="0">
    <w:p w14:paraId="29462C6F" w14:textId="77777777" w:rsidR="00895E4C" w:rsidRDefault="00895E4C" w:rsidP="0089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B00D" w14:textId="77777777" w:rsidR="006445DB" w:rsidRDefault="00065F44">
    <w:pPr>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27"/>
  <w:drawingGridVerticalSpacing w:val="34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2D"/>
    <w:rsid w:val="00065F44"/>
    <w:rsid w:val="00074D50"/>
    <w:rsid w:val="000A6E2D"/>
    <w:rsid w:val="000D2F6D"/>
    <w:rsid w:val="00197890"/>
    <w:rsid w:val="001C678A"/>
    <w:rsid w:val="00486D30"/>
    <w:rsid w:val="00487466"/>
    <w:rsid w:val="00530B18"/>
    <w:rsid w:val="00570EC6"/>
    <w:rsid w:val="00817EBB"/>
    <w:rsid w:val="00895E4C"/>
    <w:rsid w:val="0091722A"/>
    <w:rsid w:val="009730A0"/>
    <w:rsid w:val="009E7964"/>
    <w:rsid w:val="00C734D2"/>
    <w:rsid w:val="00DC72A6"/>
    <w:rsid w:val="00DD64C9"/>
    <w:rsid w:val="00E907A6"/>
    <w:rsid w:val="00F9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B3C1AC"/>
  <w15:docId w15:val="{CD95C130-25C5-43DF-AAFB-2C7234CC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5724"/>
    <w:pPr>
      <w:tabs>
        <w:tab w:val="center" w:pos="4252"/>
        <w:tab w:val="right" w:pos="8504"/>
      </w:tabs>
      <w:snapToGrid w:val="0"/>
    </w:pPr>
  </w:style>
  <w:style w:type="character" w:customStyle="1" w:styleId="a4">
    <w:name w:val="ヘッダー (文字)"/>
    <w:basedOn w:val="a0"/>
    <w:link w:val="a3"/>
    <w:uiPriority w:val="99"/>
    <w:semiHidden/>
    <w:rsid w:val="00F95724"/>
    <w:rPr>
      <w:rFonts w:ascii="Century" w:eastAsia="ＭＳ 明朝" w:hAnsi="Century"/>
    </w:rPr>
  </w:style>
  <w:style w:type="paragraph" w:styleId="a5">
    <w:name w:val="footer"/>
    <w:basedOn w:val="a"/>
    <w:link w:val="a6"/>
    <w:uiPriority w:val="99"/>
    <w:semiHidden/>
    <w:unhideWhenUsed/>
    <w:rsid w:val="00F95724"/>
    <w:pPr>
      <w:tabs>
        <w:tab w:val="center" w:pos="4252"/>
        <w:tab w:val="right" w:pos="8504"/>
      </w:tabs>
      <w:snapToGrid w:val="0"/>
    </w:pPr>
  </w:style>
  <w:style w:type="character" w:customStyle="1" w:styleId="a6">
    <w:name w:val="フッター (文字)"/>
    <w:basedOn w:val="a0"/>
    <w:link w:val="a5"/>
    <w:uiPriority w:val="99"/>
    <w:semiHidden/>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田中 陽平</cp:lastModifiedBy>
  <cp:revision>2</cp:revision>
  <dcterms:created xsi:type="dcterms:W3CDTF">2023-08-04T04:18:00Z</dcterms:created>
  <dcterms:modified xsi:type="dcterms:W3CDTF">2023-08-04T04:18:00Z</dcterms:modified>
</cp:coreProperties>
</file>